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6F" w:rsidRDefault="0056666F" w:rsidP="0056666F">
      <w:pPr>
        <w:tabs>
          <w:tab w:val="left" w:pos="709"/>
          <w:tab w:val="center" w:pos="5385"/>
          <w:tab w:val="left" w:pos="5529"/>
          <w:tab w:val="left" w:pos="7695"/>
        </w:tabs>
        <w:spacing w:line="240" w:lineRule="auto"/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JADŁOSPIS</w:t>
      </w:r>
    </w:p>
    <w:p w:rsidR="0056666F" w:rsidRDefault="0056666F" w:rsidP="0056666F">
      <w:pPr>
        <w:tabs>
          <w:tab w:val="left" w:pos="709"/>
          <w:tab w:val="center" w:pos="5385"/>
          <w:tab w:val="left" w:pos="5529"/>
          <w:tab w:val="left" w:pos="7695"/>
        </w:tabs>
        <w:spacing w:line="240" w:lineRule="auto"/>
        <w:jc w:val="center"/>
        <w:outlineLvl w:val="0"/>
        <w:rPr>
          <w:rFonts w:ascii="Monotype Corsiva" w:hAnsi="Monotype Corsiva"/>
          <w:b/>
          <w:sz w:val="28"/>
          <w:szCs w:val="28"/>
        </w:rPr>
      </w:pPr>
      <w:r>
        <w:rPr>
          <w:rFonts w:ascii="Monotype Corsiva" w:hAnsi="Monotype Corsiva"/>
          <w:b/>
          <w:sz w:val="52"/>
          <w:szCs w:val="52"/>
        </w:rPr>
        <w:t>od 13.03.2018- do 19.03.2018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835"/>
        <w:gridCol w:w="3402"/>
        <w:gridCol w:w="2552"/>
      </w:tblGrid>
      <w:tr w:rsidR="0056666F" w:rsidTr="0056666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56666F" w:rsidRDefault="0056666F" w:rsidP="00DB131E">
            <w:pPr>
              <w:snapToGrid w:val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DZIEŃ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56666F" w:rsidRDefault="0056666F" w:rsidP="00DB131E">
            <w:pPr>
              <w:snapToGrid w:val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ŚNIADANIE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hideMark/>
          </w:tcPr>
          <w:p w:rsidR="0056666F" w:rsidRDefault="0056666F" w:rsidP="00DB131E">
            <w:pPr>
              <w:snapToGrid w:val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OBIAD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hideMark/>
          </w:tcPr>
          <w:p w:rsidR="0056666F" w:rsidRDefault="0056666F" w:rsidP="00DB131E">
            <w:pPr>
              <w:snapToGrid w:val="0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>PODWIECZOREK</w:t>
            </w:r>
          </w:p>
        </w:tc>
      </w:tr>
      <w:tr w:rsidR="0056666F" w:rsidTr="0056666F">
        <w:trPr>
          <w:trHeight w:val="1639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F" w:rsidRDefault="0056666F" w:rsidP="00DB131E">
            <w:pPr>
              <w:jc w:val="center"/>
              <w:rPr>
                <w:b/>
              </w:rPr>
            </w:pPr>
          </w:p>
          <w:p w:rsidR="0056666F" w:rsidRDefault="0056666F" w:rsidP="00DB13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13.03.2018</w:t>
            </w:r>
          </w:p>
          <w:p w:rsidR="0056666F" w:rsidRDefault="0056666F" w:rsidP="00DB131E">
            <w:pPr>
              <w:tabs>
                <w:tab w:val="center" w:pos="756"/>
              </w:tabs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bułki maślane              </w:t>
            </w:r>
            <w:r w:rsidRPr="00F61FC0">
              <w:rPr>
                <w:rFonts w:ascii="Times New Roman" w:hAnsi="Times New Roman"/>
              </w:rPr>
              <w:t xml:space="preserve"> z masłem,</w:t>
            </w:r>
          </w:p>
          <w:p w:rsidR="0056666F" w:rsidRPr="00461994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461994">
              <w:rPr>
                <w:rFonts w:ascii="Times New Roman" w:hAnsi="Times New Roman"/>
              </w:rPr>
              <w:t>kakao,</w:t>
            </w:r>
          </w:p>
          <w:p w:rsidR="0056666F" w:rsidRPr="0092115A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z cytryną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banan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zupa koperkowa                          z makaronem,</w:t>
            </w:r>
          </w:p>
          <w:p w:rsidR="0056666F" w:rsidRPr="00461994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461994">
              <w:rPr>
                <w:rFonts w:ascii="Times New Roman" w:hAnsi="Times New Roman"/>
              </w:rPr>
              <w:t>iemniaki,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potrawka z kurczaka,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22578">
              <w:rPr>
                <w:rFonts w:ascii="Times New Roman" w:hAnsi="Times New Roman"/>
              </w:rPr>
              <w:t>fasolka szparagowa</w:t>
            </w:r>
            <w:r>
              <w:rPr>
                <w:rFonts w:ascii="Times New Roman" w:hAnsi="Times New Roman"/>
              </w:rPr>
              <w:t>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kompot wieloowocowy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babka piaskowa,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owocowa</w:t>
            </w:r>
          </w:p>
        </w:tc>
      </w:tr>
      <w:tr w:rsidR="0056666F" w:rsidTr="0056666F">
        <w:trPr>
          <w:trHeight w:val="341"/>
        </w:trPr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F" w:rsidRDefault="0056666F" w:rsidP="00DB131E">
            <w:pPr>
              <w:snapToGrid w:val="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6666F" w:rsidRDefault="0056666F" w:rsidP="00DB131E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ALERGENY: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56666F" w:rsidRDefault="0056666F" w:rsidP="00DB13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1,3,7,9,*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66F" w:rsidRDefault="0056666F" w:rsidP="00DB131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666F" w:rsidTr="0056666F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F" w:rsidRDefault="0056666F" w:rsidP="00DB131E">
            <w:pPr>
              <w:jc w:val="center"/>
              <w:rPr>
                <w:b/>
              </w:rPr>
            </w:pPr>
          </w:p>
          <w:p w:rsidR="0056666F" w:rsidRDefault="0056666F" w:rsidP="0056666F">
            <w:pPr>
              <w:tabs>
                <w:tab w:val="left" w:pos="180"/>
                <w:tab w:val="center" w:pos="756"/>
              </w:tabs>
              <w:rPr>
                <w:b/>
              </w:rPr>
            </w:pPr>
            <w:r>
              <w:rPr>
                <w:b/>
              </w:rPr>
              <w:tab/>
              <w:t>14.03.2018</w:t>
            </w:r>
          </w:p>
          <w:p w:rsidR="0056666F" w:rsidRDefault="0056666F" w:rsidP="00DB131E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2115A">
              <w:rPr>
                <w:rFonts w:ascii="Times New Roman" w:hAnsi="Times New Roman"/>
              </w:rPr>
              <w:t>pieczywo mieszane</w:t>
            </w:r>
            <w:r>
              <w:rPr>
                <w:rFonts w:ascii="Times New Roman" w:hAnsi="Times New Roman"/>
              </w:rPr>
              <w:t xml:space="preserve">            </w:t>
            </w:r>
            <w:r w:rsidRPr="0092115A">
              <w:rPr>
                <w:rFonts w:ascii="Times New Roman" w:hAnsi="Times New Roman"/>
              </w:rPr>
              <w:t xml:space="preserve"> z masłem </w:t>
            </w:r>
            <w:r>
              <w:rPr>
                <w:rFonts w:ascii="Times New Roman" w:hAnsi="Times New Roman"/>
              </w:rPr>
              <w:t>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serek śmietankowy </w:t>
            </w:r>
            <w:proofErr w:type="spellStart"/>
            <w:r>
              <w:rPr>
                <w:rFonts w:ascii="Times New Roman" w:hAnsi="Times New Roman"/>
              </w:rPr>
              <w:t>Almette</w:t>
            </w:r>
            <w:proofErr w:type="spellEnd"/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ogórek zielony,</w:t>
            </w:r>
          </w:p>
          <w:p w:rsidR="0056666F" w:rsidRPr="00681403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szczypiorek,</w:t>
            </w:r>
          </w:p>
          <w:p w:rsidR="0056666F" w:rsidRPr="00DC5D5A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</w:t>
            </w:r>
            <w:r w:rsidRPr="00DC5D5A">
              <w:rPr>
                <w:rFonts w:ascii="Times New Roman" w:hAnsi="Times New Roman"/>
              </w:rPr>
              <w:t>wa biała,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z cytryną,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jabłko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zupa ryżowa z jarzynami,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ziemniaki,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kiełbaska z rusztu,</w:t>
            </w:r>
          </w:p>
          <w:p w:rsidR="0056666F" w:rsidRPr="00C22578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22578">
              <w:rPr>
                <w:rFonts w:ascii="Times New Roman" w:hAnsi="Times New Roman"/>
              </w:rPr>
              <w:t>sałatka z kapusty kiszonej,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</w:t>
            </w:r>
            <w:r w:rsidRPr="008D3D5E">
              <w:rPr>
                <w:rFonts w:ascii="Times New Roman" w:hAnsi="Times New Roman"/>
              </w:rPr>
              <w:t>ot</w:t>
            </w:r>
            <w:r>
              <w:rPr>
                <w:rFonts w:ascii="Times New Roman" w:hAnsi="Times New Roman"/>
              </w:rPr>
              <w:t xml:space="preserve"> wieloowocowy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owoce,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biszkopty</w:t>
            </w:r>
          </w:p>
        </w:tc>
      </w:tr>
      <w:tr w:rsidR="0056666F" w:rsidTr="0056666F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F" w:rsidRDefault="0056666F" w:rsidP="00DB131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6666F" w:rsidRDefault="0056666F" w:rsidP="00DB131E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ALERGENY: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56666F" w:rsidRDefault="0056666F" w:rsidP="00DB13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1,3,7,9,*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66F" w:rsidRDefault="0056666F" w:rsidP="00DB13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6666F" w:rsidTr="0056666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6F" w:rsidRDefault="0056666F" w:rsidP="00DB131E">
            <w:pPr>
              <w:tabs>
                <w:tab w:val="center" w:pos="756"/>
              </w:tabs>
              <w:snapToGrid w:val="0"/>
              <w:rPr>
                <w:b/>
              </w:rPr>
            </w:pPr>
          </w:p>
          <w:p w:rsidR="0056666F" w:rsidRDefault="0056666F" w:rsidP="00DB131E">
            <w:pPr>
              <w:tabs>
                <w:tab w:val="center" w:pos="742"/>
              </w:tabs>
              <w:snapToGrid w:val="0"/>
              <w:rPr>
                <w:b/>
              </w:rPr>
            </w:pPr>
            <w:r>
              <w:rPr>
                <w:b/>
              </w:rPr>
              <w:tab/>
              <w:t>15.03.2018</w:t>
            </w:r>
          </w:p>
          <w:p w:rsidR="0056666F" w:rsidRDefault="0056666F" w:rsidP="00DB13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czwartek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zupa mleczna                       z płatkami kukurydzianymi,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00938">
              <w:rPr>
                <w:rFonts w:ascii="Times New Roman" w:hAnsi="Times New Roman"/>
              </w:rPr>
              <w:t>pieczywo z masłem,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powidła śliwkowe,</w:t>
            </w:r>
          </w:p>
          <w:p w:rsidR="0056666F" w:rsidRPr="00C00938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00938">
              <w:rPr>
                <w:rFonts w:ascii="Times New Roman" w:hAnsi="Times New Roman"/>
              </w:rPr>
              <w:t>herbata z cytryną,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81403">
              <w:rPr>
                <w:rFonts w:ascii="Times New Roman" w:hAnsi="Times New Roman"/>
              </w:rPr>
              <w:t xml:space="preserve">banan </w:t>
            </w:r>
            <w:r w:rsidRPr="006726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zupa kalafiorowa,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ziemniaki,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udka z kurczaka w rękawie,</w:t>
            </w:r>
          </w:p>
          <w:p w:rsidR="0056666F" w:rsidRPr="00F83FF0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sałata zielona w śmietanie</w:t>
            </w:r>
            <w:r w:rsidRPr="00F83FF0">
              <w:rPr>
                <w:rFonts w:ascii="Times New Roman" w:hAnsi="Times New Roman"/>
              </w:rPr>
              <w:t>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</w:t>
            </w:r>
            <w:r w:rsidRPr="0045676E">
              <w:rPr>
                <w:rFonts w:ascii="Times New Roman" w:hAnsi="Times New Roman"/>
              </w:rPr>
              <w:t xml:space="preserve">ot  </w:t>
            </w:r>
            <w:r>
              <w:rPr>
                <w:rFonts w:ascii="Times New Roman" w:hAnsi="Times New Roman"/>
              </w:rPr>
              <w:t>wieloowocowy</w:t>
            </w:r>
            <w:r w:rsidRPr="0045676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kisiel cytrynowy,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wafle zbożowe</w:t>
            </w:r>
          </w:p>
        </w:tc>
      </w:tr>
      <w:tr w:rsidR="0056666F" w:rsidTr="0056666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6F" w:rsidRDefault="0056666F" w:rsidP="00DB131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6666F" w:rsidRDefault="0056666F" w:rsidP="00DB131E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ALERGENY: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56666F" w:rsidRDefault="0056666F" w:rsidP="00DB13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1,3,7,9,*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66F" w:rsidRDefault="0056666F" w:rsidP="00DB13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6666F" w:rsidTr="00DB131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6F" w:rsidRDefault="0056666F" w:rsidP="00DB131E">
            <w:pPr>
              <w:snapToGrid w:val="0"/>
              <w:jc w:val="center"/>
              <w:rPr>
                <w:b/>
              </w:rPr>
            </w:pPr>
          </w:p>
          <w:p w:rsidR="0056666F" w:rsidRDefault="0056666F" w:rsidP="00DB13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16.03.2018</w:t>
            </w:r>
          </w:p>
          <w:p w:rsidR="0056666F" w:rsidRDefault="0056666F" w:rsidP="00DB131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bułki kajzerki                   i grahamki z masłem,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ser żółty,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rzodkiewka,</w:t>
            </w:r>
          </w:p>
          <w:p w:rsidR="0056666F" w:rsidRPr="00E21A12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szczypiorek</w:t>
            </w:r>
          </w:p>
          <w:p w:rsidR="0056666F" w:rsidRPr="00DE541B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kawa biała,</w:t>
            </w:r>
          </w:p>
          <w:p w:rsidR="0056666F" w:rsidRPr="008D3D5E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D3D5E">
              <w:rPr>
                <w:rFonts w:ascii="Times New Roman" w:hAnsi="Times New Roman"/>
              </w:rPr>
              <w:t>herbata z cytryną,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jabłko</w:t>
            </w:r>
            <w:r w:rsidRPr="0070742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zupa jarzynowa z kaszą jaglaną,                                              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ziemniaki,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filet z mintaja,</w:t>
            </w:r>
          </w:p>
          <w:p w:rsidR="0056666F" w:rsidRPr="00A72713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surówka z kapusty pekińskiej,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kompot wieloowocowy,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sok marchewkowy,</w:t>
            </w:r>
          </w:p>
          <w:p w:rsidR="0056666F" w:rsidRPr="00A72713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ciasteczka owsiane</w:t>
            </w:r>
          </w:p>
        </w:tc>
      </w:tr>
      <w:tr w:rsidR="0056666F" w:rsidTr="0056666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666F" w:rsidRDefault="0056666F" w:rsidP="00DB131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6666F" w:rsidRDefault="0056666F" w:rsidP="00DB131E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ALERGENY: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66F" w:rsidRDefault="0056666F" w:rsidP="00DB13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1,3,4,7,9,*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6F" w:rsidRDefault="0056666F" w:rsidP="00DB13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6666F" w:rsidTr="00DB131E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F" w:rsidRDefault="0056666F" w:rsidP="00DB131E">
            <w:pPr>
              <w:jc w:val="center"/>
              <w:rPr>
                <w:b/>
              </w:rPr>
            </w:pPr>
          </w:p>
          <w:p w:rsidR="0056666F" w:rsidRDefault="0056666F" w:rsidP="00DB131E">
            <w:pPr>
              <w:tabs>
                <w:tab w:val="center" w:pos="756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19.03.2018</w:t>
            </w:r>
          </w:p>
          <w:p w:rsidR="0056666F" w:rsidRDefault="0056666F" w:rsidP="00DB131E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pieczywo mieszane  z masłem,                                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szynka wieprzowa</w:t>
            </w:r>
            <w:r w:rsidRPr="00CA0381">
              <w:rPr>
                <w:rFonts w:ascii="Times New Roman" w:hAnsi="Times New Roman"/>
              </w:rPr>
              <w:t>,</w:t>
            </w:r>
          </w:p>
          <w:p w:rsidR="0056666F" w:rsidRPr="00CA0381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sałata lodowa,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kawa biała,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herbata z cytryną,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jabłko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żurek z ziemniakami                   i kiełbaską,</w:t>
            </w:r>
          </w:p>
          <w:p w:rsidR="0056666F" w:rsidRPr="00681403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ryż z musem owocowym,</w:t>
            </w:r>
            <w:r w:rsidRPr="00681403">
              <w:rPr>
                <w:rFonts w:ascii="Times New Roman" w:hAnsi="Times New Roman"/>
              </w:rPr>
              <w:t xml:space="preserve"> </w:t>
            </w:r>
          </w:p>
          <w:p w:rsidR="0056666F" w:rsidRPr="008769CE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769CE">
              <w:rPr>
                <w:rFonts w:ascii="Times New Roman" w:hAnsi="Times New Roman"/>
              </w:rPr>
              <w:t xml:space="preserve">kompot </w:t>
            </w:r>
            <w:r>
              <w:rPr>
                <w:rFonts w:ascii="Times New Roman" w:hAnsi="Times New Roman"/>
              </w:rPr>
              <w:t>wieloowocowy</w:t>
            </w:r>
            <w:r w:rsidRPr="008769CE">
              <w:rPr>
                <w:rFonts w:ascii="Times New Roman" w:hAnsi="Times New Roman"/>
              </w:rPr>
              <w:t xml:space="preserve">                  </w:t>
            </w:r>
          </w:p>
          <w:p w:rsidR="0056666F" w:rsidRDefault="0056666F" w:rsidP="00DB131E">
            <w:pPr>
              <w:pStyle w:val="Akapitzlist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chleb z masłem,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pomidor,</w:t>
            </w:r>
          </w:p>
          <w:p w:rsidR="0056666F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szczypiorek,</w:t>
            </w:r>
          </w:p>
          <w:p w:rsidR="0056666F" w:rsidRPr="00C9726A" w:rsidRDefault="0056666F" w:rsidP="0056666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C9726A">
              <w:rPr>
                <w:rFonts w:ascii="Times New Roman" w:hAnsi="Times New Roman"/>
              </w:rPr>
              <w:t>herbata owocowa</w:t>
            </w:r>
          </w:p>
          <w:p w:rsidR="0056666F" w:rsidRDefault="0056666F" w:rsidP="00DB131E">
            <w:pPr>
              <w:pStyle w:val="Akapitzlist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56666F" w:rsidTr="0056666F"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F" w:rsidRDefault="0056666F" w:rsidP="00DB131E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hideMark/>
          </w:tcPr>
          <w:p w:rsidR="0056666F" w:rsidRDefault="0056666F" w:rsidP="00DB131E">
            <w:pPr>
              <w:pStyle w:val="Akapitzlist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ALERGENY: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hideMark/>
          </w:tcPr>
          <w:p w:rsidR="0056666F" w:rsidRDefault="0056666F" w:rsidP="00DB13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1,3,7,9,*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666F" w:rsidRDefault="0056666F" w:rsidP="00DB131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56666F" w:rsidRDefault="0056666F" w:rsidP="0056666F">
      <w:pPr>
        <w:jc w:val="center"/>
        <w:rPr>
          <w:sz w:val="16"/>
          <w:szCs w:val="16"/>
          <w:lang w:eastAsia="pl-PL"/>
        </w:rPr>
      </w:pPr>
      <w:r w:rsidRPr="00827194">
        <w:rPr>
          <w:sz w:val="16"/>
          <w:szCs w:val="16"/>
          <w:lang w:eastAsia="pl-PL"/>
        </w:rPr>
        <w:t>* Zgodnie z informacjami od producentów użyte produkty gotowe (np. kakao, herbata, dżem, ketchup, koncentrat pomidorowy, produkty z mięsa) mogą zawierać </w:t>
      </w:r>
      <w:r w:rsidRPr="00827194">
        <w:rPr>
          <w:b/>
          <w:bCs/>
          <w:sz w:val="16"/>
          <w:szCs w:val="16"/>
          <w:lang w:eastAsia="pl-PL"/>
        </w:rPr>
        <w:t>śladowe ilości alergenów</w:t>
      </w:r>
      <w:r w:rsidRPr="00827194">
        <w:rPr>
          <w:sz w:val="16"/>
          <w:szCs w:val="16"/>
          <w:lang w:eastAsia="pl-PL"/>
        </w:rPr>
        <w:t>: glutenu, mleka łącznie z laktozą, jaj, soi, orzechów, selera i gorczycy.</w:t>
      </w:r>
    </w:p>
    <w:p w:rsidR="0056666F" w:rsidRDefault="0056666F" w:rsidP="0056666F">
      <w:pPr>
        <w:jc w:val="center"/>
        <w:rPr>
          <w:sz w:val="16"/>
          <w:szCs w:val="16"/>
          <w:lang w:eastAsia="pl-PL"/>
        </w:rPr>
      </w:pPr>
      <w:r w:rsidRPr="00827194">
        <w:rPr>
          <w:b/>
          <w:bCs/>
          <w:sz w:val="16"/>
          <w:szCs w:val="16"/>
          <w:lang w:eastAsia="pl-PL"/>
        </w:rPr>
        <w:t>Do przygotowania posiłków używane są przyprawy</w:t>
      </w:r>
      <w:r w:rsidRPr="00827194">
        <w:rPr>
          <w:sz w:val="16"/>
          <w:szCs w:val="16"/>
          <w:lang w:eastAsia="pl-PL"/>
        </w:rPr>
        <w:t>:</w:t>
      </w:r>
    </w:p>
    <w:p w:rsidR="0056666F" w:rsidRDefault="0056666F" w:rsidP="0056666F">
      <w:pPr>
        <w:jc w:val="center"/>
        <w:rPr>
          <w:sz w:val="16"/>
          <w:szCs w:val="16"/>
          <w:lang w:eastAsia="pl-PL"/>
        </w:rPr>
      </w:pPr>
      <w:r w:rsidRPr="00827194">
        <w:rPr>
          <w:sz w:val="16"/>
          <w:szCs w:val="16"/>
          <w:lang w:eastAsia="pl-PL"/>
        </w:rPr>
        <w:t>pieprz, pieprz ziołowy, ziele angielskie, liść laurowy, majeranek, oregano, bazylia, tymianek, kminek, majeranek, zioła prowansalskie, papryka słodka</w:t>
      </w:r>
    </w:p>
    <w:p w:rsidR="00FB79CF" w:rsidRPr="00827194" w:rsidRDefault="00FB79CF" w:rsidP="00FB79CF">
      <w:pPr>
        <w:tabs>
          <w:tab w:val="left" w:pos="709"/>
          <w:tab w:val="center" w:pos="5385"/>
          <w:tab w:val="left" w:pos="5529"/>
          <w:tab w:val="left" w:pos="7695"/>
        </w:tabs>
        <w:jc w:val="center"/>
        <w:outlineLvl w:val="0"/>
        <w:rPr>
          <w:b/>
          <w:sz w:val="16"/>
          <w:szCs w:val="16"/>
        </w:rPr>
      </w:pPr>
    </w:p>
    <w:tbl>
      <w:tblPr>
        <w:tblW w:w="14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0"/>
      </w:tblGrid>
      <w:tr w:rsidR="00692AAA" w:rsidRPr="000C6024" w:rsidTr="008110DC">
        <w:trPr>
          <w:trHeight w:val="13598"/>
        </w:trPr>
        <w:tc>
          <w:tcPr>
            <w:tcW w:w="14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60" w:type="dxa"/>
              <w:left w:w="160" w:type="dxa"/>
              <w:bottom w:w="160" w:type="dxa"/>
              <w:right w:w="160" w:type="dxa"/>
            </w:tcMar>
            <w:hideMark/>
          </w:tcPr>
          <w:p w:rsidR="00692AAA" w:rsidRPr="000C6024" w:rsidRDefault="00692AAA" w:rsidP="00FB79CF">
            <w:pPr>
              <w:shd w:val="clear" w:color="auto" w:fill="FFFF00"/>
              <w:rPr>
                <w:sz w:val="44"/>
                <w:szCs w:val="44"/>
                <w:lang w:eastAsia="pl-PL"/>
              </w:rPr>
            </w:pPr>
            <w:r w:rsidRPr="000C6024">
              <w:rPr>
                <w:sz w:val="44"/>
                <w:szCs w:val="44"/>
                <w:lang w:eastAsia="pl-PL"/>
              </w:rPr>
              <w:t>DANIA W JADŁOSPISIE SĄ PRZYGOTOWYWANE W OPARCIU</w:t>
            </w:r>
          </w:p>
          <w:p w:rsidR="00692AAA" w:rsidRPr="000C6024" w:rsidRDefault="00692AAA" w:rsidP="008110DC">
            <w:pPr>
              <w:shd w:val="clear" w:color="auto" w:fill="FFFF00"/>
              <w:rPr>
                <w:sz w:val="44"/>
                <w:szCs w:val="44"/>
                <w:lang w:eastAsia="pl-PL"/>
              </w:rPr>
            </w:pPr>
            <w:r w:rsidRPr="000C6024">
              <w:rPr>
                <w:sz w:val="44"/>
                <w:szCs w:val="44"/>
                <w:lang w:eastAsia="pl-PL"/>
              </w:rPr>
              <w:t>O SUBSTANCJE  I  PRODUKTY  POWODUJĄCE  ALERGIE</w:t>
            </w:r>
          </w:p>
          <w:p w:rsidR="00692AAA" w:rsidRPr="000C6024" w:rsidRDefault="00692AAA" w:rsidP="008110DC">
            <w:pPr>
              <w:shd w:val="clear" w:color="auto" w:fill="FFFF00"/>
              <w:rPr>
                <w:sz w:val="44"/>
                <w:szCs w:val="44"/>
                <w:lang w:eastAsia="pl-PL"/>
              </w:rPr>
            </w:pPr>
            <w:r w:rsidRPr="000C6024">
              <w:rPr>
                <w:sz w:val="44"/>
                <w:szCs w:val="44"/>
                <w:lang w:eastAsia="pl-PL"/>
              </w:rPr>
              <w:t>LUB   REAKCJE   NIETOLERANCJI </w:t>
            </w:r>
          </w:p>
          <w:tbl>
            <w:tblPr>
              <w:tblW w:w="10482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197"/>
              <w:gridCol w:w="9285"/>
            </w:tblGrid>
            <w:tr w:rsidR="00692AAA" w:rsidRPr="000C6024" w:rsidTr="00C85CAE">
              <w:trPr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 </w:t>
                  </w:r>
                </w:p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 </w:t>
                  </w:r>
                </w:p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1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 xml:space="preserve">Zboża zawierające gluten, tj. pszenica, żyto, jęczmień, owies, orkisz, </w:t>
                  </w:r>
                  <w:proofErr w:type="spellStart"/>
                  <w:r w:rsidRPr="000C6024">
                    <w:rPr>
                      <w:lang w:eastAsia="pl-PL"/>
                    </w:rPr>
                    <w:t>kamut</w:t>
                  </w:r>
                  <w:proofErr w:type="spellEnd"/>
                  <w:r w:rsidRPr="000C6024">
                    <w:rPr>
                      <w:lang w:eastAsia="pl-PL"/>
                    </w:rPr>
                    <w:t> lub ich odmiany hybrydowe, a także produkty pochodne, z wyjątkiem: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a) syropów glukozowych na bazie pszenicy zawierających dekstrozę;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b) </w:t>
                  </w:r>
                  <w:proofErr w:type="spellStart"/>
                  <w:r w:rsidRPr="000C6024">
                    <w:rPr>
                      <w:lang w:eastAsia="pl-PL"/>
                    </w:rPr>
                    <w:t>maltodekstryn</w:t>
                  </w:r>
                  <w:proofErr w:type="spellEnd"/>
                  <w:r w:rsidRPr="000C6024">
                    <w:rPr>
                      <w:lang w:eastAsia="pl-PL"/>
                    </w:rPr>
                    <w:t xml:space="preserve"> na bazie pszenicy;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c) syropów glukozowych na bazie jęczmienia;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d) zbóż wykorzystywanych do produkcji destylatów alkoholowych, w tym ` alkoholu etylowego pochodzenia rolniczego;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color w:val="000000"/>
                      <w:lang w:eastAsia="pl-PL"/>
                    </w:rPr>
                  </w:pPr>
                  <w:r w:rsidRPr="000C6024">
                    <w:rPr>
                      <w:color w:val="A3B322"/>
                      <w:lang w:eastAsia="pl-PL"/>
                    </w:rPr>
                    <w:t>Ziarna zbóż zawierające gluten: </w:t>
                  </w:r>
                  <w:r w:rsidRPr="000C6024">
                    <w:rPr>
                      <w:color w:val="000000"/>
                      <w:lang w:eastAsia="pl-PL"/>
                    </w:rPr>
                    <w:t xml:space="preserve">pszenica, jęczmień, owies, żyto, orkisz, orkisz zielony, pszenica samopsza, pszenica płaskurka, pszenica,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kamut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 pszenżyto (odmiany hybrydowe pszenicy oraz żyta)</w:t>
                  </w:r>
                  <w:r w:rsidRPr="000C6024">
                    <w:rPr>
                      <w:color w:val="00612E"/>
                      <w:lang w:eastAsia="pl-PL"/>
                    </w:rPr>
                    <w:t>Oznaczenia stosowne dla ziaren zbóż zawierających gluten oraz produktów na ich bazie; </w:t>
                  </w:r>
                  <w:r w:rsidRPr="000C6024">
                    <w:rPr>
                      <w:color w:val="000000"/>
                      <w:lang w:eastAsia="pl-PL"/>
                    </w:rPr>
                    <w:t xml:space="preserve">produkty spożywcze oraz wypieki na bazie powyższych ziaren zbóż: skrobia, mąka, krupczatka, kasza manna, kuskus, kaszka, kukurydziana, kasza jęczmienna, płatki, otręby, produkty pełnoziarniste, kasza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bulgur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  kiełki pszenicy.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 xml:space="preserve">Produkty spożywcze, które zawierają lub mogą zawierać </w:t>
                  </w:r>
                  <w:proofErr w:type="spellStart"/>
                  <w:r w:rsidRPr="000C6024">
                    <w:rPr>
                      <w:color w:val="00612E"/>
                      <w:lang w:eastAsia="pl-PL"/>
                    </w:rPr>
                    <w:t>gluten</w:t>
                  </w:r>
                  <w:r w:rsidRPr="000C6024">
                    <w:rPr>
                      <w:color w:val="000000"/>
                      <w:lang w:eastAsia="pl-PL"/>
                    </w:rPr>
                    <w:t>makaron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 naleśniki, bułka tarta, mieszanki zbóż, mieszanki do wypieków / mieszanki do ciast, chleb, wypieki, torty z kremem, ciastka, herbatniki, słód, piwo słodowe, piwo, kawa zbożowa (słodowa), sosy na bazie zasmażki, napoje na bazie kakao, mieszanki przypraw, sos sojowy, hydrolizowane białko pszeniczne w przyprawach, batony czekoladowe, batony zbożowe, lody z waflem, substancja rozdzielająca w tartym serze</w:t>
                  </w:r>
                </w:p>
              </w:tc>
            </w:tr>
            <w:tr w:rsidR="00692AAA" w:rsidRPr="000C6024" w:rsidTr="00C85CAE">
              <w:trPr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2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CAE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Skorupiaki i produkty pochodne;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skorupiaków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krewetki, raki, homary, kraby, kryl, langusty, krewetki czerwone, krewetki królewskie, kraby pająkowate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skorupiaki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masło rakowe, pasta z krewetek,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sashimi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surimi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prażynki, krewetkowe,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bouillabaisse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paella</w:t>
                  </w:r>
                  <w:proofErr w:type="spellEnd"/>
                </w:p>
              </w:tc>
            </w:tr>
            <w:tr w:rsidR="00692AAA" w:rsidRPr="000C6024" w:rsidTr="00C85CAE">
              <w:trPr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3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Jaja i produkty pochodne;  </w:t>
                  </w:r>
                  <w:r w:rsidRPr="000C6024">
                    <w:rPr>
                      <w:color w:val="000000"/>
                      <w:lang w:eastAsia="pl-PL"/>
                    </w:rPr>
                    <w:t>(Jaja kurze, jaja gęsie, kacze, indycze, przepiórcze, gołębie oraz strusie)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jaj oraz produktów na bazie jaj ; </w:t>
                  </w:r>
                  <w:r w:rsidRPr="000C6024">
                    <w:rPr>
                      <w:color w:val="000000"/>
                      <w:lang w:eastAsia="pl-PL"/>
                    </w:rPr>
                    <w:t xml:space="preserve">żółtko jaj, białko jaj, ubite białko jaj, jaja w płynie, jaja w proszku, jaja mrożone, substancje oraz produkty spożywcze z przedrostkiem „ovo” (= jajo) w nazwie: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ovomucin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 lizozym z jaj (np. w serze), lecytyna z jaj kurzych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jaja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biszkopty / sucharki, tort Pawłowa, bezy, torty z kremem, ciasta,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wypieki,desery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 lody, pianka oraz polewy do kaw smakowych, sosy (np. sos holenderski, sos berneński), majonez, spoiwo w mięsie mielonym, panierki,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ciasta, „lepiszcza” na potrzeby zbóż oraz dekoracji na chlebie i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wypiekach,glazura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 cukrowa, likier jajeczny oraz inne rodzaje likieru, makaron jajeczny,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surimi</w:t>
                  </w:r>
                  <w:proofErr w:type="spellEnd"/>
                </w:p>
              </w:tc>
            </w:tr>
            <w:tr w:rsidR="00692AAA" w:rsidRPr="000C6024" w:rsidTr="00C85CAE">
              <w:trPr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4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Ryby i produkty pochodne, z wyjątkiem: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a) żelatyny rybnej stosowanej jako nośnik preparatów zawierających witaminy lub karotenoidy;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b) żelatyny rybnej lub karuku stosowanych jako środki klarujące do piwa i wina;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ryb oraz produktów na bazie ryb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ryby wszelkiego typu: surowe, gotowane oraz marynowane, kawior, ikra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ryby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żelatyna,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surimi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kamaboko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 (japońskie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surimi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), (pasta) anchois, sos Worcester, pikantne sosy / przyprawy (azjatyckie), potrawy regionalne (np. sushi, ryż smażony,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paella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rolki wiosenne,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vitello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tonnato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bouillabaisse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), Krwawa Mary (z sosem Worcester).</w:t>
                  </w:r>
                </w:p>
              </w:tc>
            </w:tr>
            <w:tr w:rsidR="00692AAA" w:rsidRPr="000C6024" w:rsidTr="00C85CAE">
              <w:trPr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lastRenderedPageBreak/>
                    <w:t>5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Orzeszki ziemne (arachidowe) i produkty pochodne;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orzeszków ziemnych oraz produktów na ich bazie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olej arachidowy (również w formie tłuszczu do smażenia zanurzeniowego), masło arachidowe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orzeszki ziemne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color w:val="000000"/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wegetariańskie zamienniki mięsa, sosy (np. sos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satay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), dressingi, pesto, potrawy regionalne (np. afrykańskie, azjatyckie, meksykańskie), mieszanki orzechów, bakalie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</w:p>
              </w:tc>
            </w:tr>
            <w:tr w:rsidR="00692AAA" w:rsidRPr="000C6024" w:rsidTr="00C85CAE">
              <w:trPr>
                <w:trHeight w:val="4170"/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6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85CAE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Soja i produkty pochodne, z wyjątkiem: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 xml:space="preserve">a) całkowicie rafinowanego oleju i tłuszczu </w:t>
                  </w:r>
                  <w:proofErr w:type="spellStart"/>
                  <w:r w:rsidRPr="000C6024">
                    <w:rPr>
                      <w:lang w:eastAsia="pl-PL"/>
                    </w:rPr>
                    <w:t>sojoweggo</w:t>
                  </w:r>
                  <w:proofErr w:type="spellEnd"/>
                  <w:r w:rsidRPr="000C6024">
                    <w:rPr>
                      <w:lang w:eastAsia="pl-PL"/>
                    </w:rPr>
                    <w:t>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b) mieszaniny naturalnych tokoferoli (E306) naturalnego D-alfa-tokoferolu, naturalnego octanu D-alfa-tokoferolu, naturalnego bursztynianu D-alfa-tokoferolu pochodzenia sojowego;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c) fitosteroli i estrów fitosteroli otrzymanych z olejów roślinnych pochodzenia sojowego;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 xml:space="preserve">d) estru </w:t>
                  </w:r>
                  <w:proofErr w:type="spellStart"/>
                  <w:r w:rsidRPr="000C6024">
                    <w:rPr>
                      <w:lang w:eastAsia="pl-PL"/>
                    </w:rPr>
                    <w:t>stanolu</w:t>
                  </w:r>
                  <w:proofErr w:type="spellEnd"/>
                  <w:r w:rsidRPr="000C6024">
                    <w:rPr>
                      <w:lang w:eastAsia="pl-PL"/>
                    </w:rPr>
                    <w:t xml:space="preserve"> roślinnego produkowanego ze steroli olejów roślinnych pochodzenia sojowego;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soi oraz produktów na bazie soi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ziarno sojowe, mąka sojowa, kasza sojowa, mleko sojowe, desery sojowe, nierafinowany olej sojowy, lecytyna sojowa, białko sojowe, ser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tofu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pasta miso,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tempeh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 kiełki soi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soję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przyprawy (sosy sojowe, sos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shoyu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sos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tamari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sos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teriyaki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sos Worcester), wegetariańskie pasty do smarowania pieczywa oraz dania wegetariańskie,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surimi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 chleb oraz wypieki, burgery, wyroby wędliniarskie, niskotłuszczowe produkty na bazie mięsa mielonego</w:t>
                  </w:r>
                </w:p>
              </w:tc>
            </w:tr>
            <w:tr w:rsidR="00692AAA" w:rsidRPr="000C6024" w:rsidTr="00C85CAE">
              <w:trPr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7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Mleko i produkty pochodne (łącznie z laktozą), z wyjątkiem: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a) serwatki wykorzystywanej do produkcji destylatów alkoholowych, w tym alkoholu etylowego pochodzenia rolniczego,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 xml:space="preserve">b) </w:t>
                  </w:r>
                  <w:proofErr w:type="spellStart"/>
                  <w:r w:rsidRPr="000C6024">
                    <w:rPr>
                      <w:lang w:eastAsia="pl-PL"/>
                    </w:rPr>
                    <w:t>laktitolu</w:t>
                  </w:r>
                  <w:proofErr w:type="spellEnd"/>
                  <w:r w:rsidRPr="000C6024">
                    <w:rPr>
                      <w:lang w:eastAsia="pl-PL"/>
                    </w:rPr>
                    <w:t>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Uwaga: Zazwyczaj w równym stopniu nietolerowane jest mleko kozie, owcze, bawole oraz końskie.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mleka oraz produktów na bazie mleka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białko mleczne, hydrolizat białka mlecznego, kazeina, białko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serwatkowe,laktoalbumina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laktoglobulina, laktoza, mleko, mleko w proszku, serwatka, śmietana, kwaśna śmietana, crème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fraîche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 maślanka, mleko zsiadłe, mleko skondensowane, jogurt, kefir, ser, twaróg / ser biały, masło, masło topione.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mleko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margaryna, tłuszcze roślinne do smarowania pieczywa, czekolada,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wypieki,nugat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lody, desery,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zabielacz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 do kawy, purée ziemniaczane,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surimi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.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8D2708"/>
                      <w:lang w:eastAsia="pl-PL"/>
                    </w:rPr>
                    <w:t xml:space="preserve">Ważne!!! Produkty nabiałowe o niskiej zawartości laktozy, takie jak na przykład dojrzały ser czy mleko </w:t>
                  </w:r>
                  <w:proofErr w:type="spellStart"/>
                  <w:r w:rsidRPr="000C6024">
                    <w:rPr>
                      <w:color w:val="8D2708"/>
                      <w:lang w:eastAsia="pl-PL"/>
                    </w:rPr>
                    <w:t>bezlaktozowe</w:t>
                  </w:r>
                  <w:proofErr w:type="spellEnd"/>
                  <w:r w:rsidRPr="000C6024">
                    <w:rPr>
                      <w:color w:val="8D2708"/>
                      <w:lang w:eastAsia="pl-PL"/>
                    </w:rPr>
                    <w:t>, są często tolerowane w przypadku nietolerancji laktozy, jednakże w żadnym wypadku nie są one odpowiednie dla osób uczulonych na białka mleka.</w:t>
                  </w:r>
                </w:p>
              </w:tc>
            </w:tr>
            <w:tr w:rsidR="00692AAA" w:rsidRPr="000C6024" w:rsidTr="00C85CAE">
              <w:trPr>
                <w:trHeight w:val="1020"/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8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 xml:space="preserve">Orzechy, tj. migdały, orzechy laskowe, orzechy włoskie, orzechy nerkowca, orzeszki </w:t>
                  </w:r>
                  <w:proofErr w:type="spellStart"/>
                  <w:r w:rsidRPr="000C6024">
                    <w:rPr>
                      <w:lang w:eastAsia="pl-PL"/>
                    </w:rPr>
                    <w:t>pekan</w:t>
                  </w:r>
                  <w:proofErr w:type="spellEnd"/>
                  <w:r w:rsidRPr="000C6024">
                    <w:rPr>
                      <w:lang w:eastAsia="pl-PL"/>
                    </w:rPr>
                    <w:t xml:space="preserve">, orzechy brazylijskie,  pistacje/orzechy pistacjowe, orzechy makadamia lub orzechy </w:t>
                  </w:r>
                  <w:proofErr w:type="spellStart"/>
                  <w:r w:rsidRPr="000C6024">
                    <w:rPr>
                      <w:lang w:eastAsia="pl-PL"/>
                    </w:rPr>
                    <w:t>Queens</w:t>
                  </w:r>
                  <w:proofErr w:type="spellEnd"/>
                  <w:r w:rsidRPr="000C6024">
                    <w:rPr>
                      <w:lang w:eastAsia="pl-PL"/>
                    </w:rPr>
                    <w:t>-land, a także produkty pochodne z wyjątkiem orzechów wykorzystywanych do produkcji destylatów alkoholowych, w tym alkoholu etylowego pochodzenia rolniczego;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orzechów oraz produktów na bazie orzechów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olej z orzechów włoskich, olej z orzechów laskowych, olej migdałowy, krem orzechowy do smarowania pieczywa, pasta orzechowa, masło orzechowe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8D2708"/>
                      <w:lang w:eastAsia="pl-PL"/>
                    </w:rPr>
                    <w:t xml:space="preserve">Warto wiedzieć... Kokosy oraz orzeszki pinii nie zaliczają się </w:t>
                  </w:r>
                  <w:proofErr w:type="spellStart"/>
                  <w:r w:rsidRPr="000C6024">
                    <w:rPr>
                      <w:color w:val="8D2708"/>
                      <w:lang w:eastAsia="pl-PL"/>
                    </w:rPr>
                    <w:t>doorzechów</w:t>
                  </w:r>
                  <w:proofErr w:type="spellEnd"/>
                  <w:r w:rsidRPr="000C6024">
                    <w:rPr>
                      <w:color w:val="8D2708"/>
                      <w:lang w:eastAsia="pl-PL"/>
                    </w:rPr>
                    <w:t>, które należy uwzględnić w opisie jako alergeny.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orzechy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marcepan, nugat, krem orzechowo-nugatowy do smarowania pieczywa, torty z kremem, ciasta, wypieki, desery, makaroniki, czekolada, bakalie, gotowe przekąski,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musli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 sosy do sałatek, pesto oraz pozostałe sosy, dressingi do sałatek, dania wegetariańskie, chleb z orzechami, mortadela (z orzechami pistacjowymi), produkty o smaku kawowym</w:t>
                  </w:r>
                </w:p>
              </w:tc>
            </w:tr>
            <w:tr w:rsidR="00692AAA" w:rsidRPr="000C6024" w:rsidTr="00C85CAE">
              <w:trPr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lastRenderedPageBreak/>
                    <w:t>9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Seler i produkty pochodne;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selera oraz produktów na bazie selera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seler korzeniowy (korzeń selera naciowego), ziarna selera, łodyga selera, liść selera, soki warzywne z zawartością selera, sól selerowa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seler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mieszanki przypraw, curry, buliony, zupy, mięsa duszone z jarzynami, sosy, produkty wędliniarskie oraz mięsne, sałatki delikatesowe, sałatki warzywne, sałatka ziemniaczana (z bulionem), pikantne przystawki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8D2708"/>
                      <w:lang w:eastAsia="pl-PL"/>
                    </w:rPr>
                    <w:t>Warto wiedzieć... Seler – jego korzeń, łodygę oraz liście – wykorzystuje się tradycyjnie na potrzeby przygotowania bulionów, zup oraz sosów.</w:t>
                  </w:r>
                </w:p>
              </w:tc>
            </w:tr>
            <w:tr w:rsidR="00692AAA" w:rsidRPr="000C6024" w:rsidTr="00C85CAE">
              <w:trPr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10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Gorczyca i produkty pochodne;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gorczycy oraz produktów na bazie gorczycy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ziarno gorczycy, musztarda, olej gorczycowy, kiełkujące nasiona gorczycy, liście oraz kwiaty gorczycy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gorczycę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wędliny, produkty mięsne: rolady, potrawy curry, mieszanki przypraw, warzywa konserwowe, marynaty, zupy, sosy, sosy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chutney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 sałatki delikatesowe.</w:t>
                  </w:r>
                </w:p>
              </w:tc>
            </w:tr>
            <w:tr w:rsidR="00692AAA" w:rsidRPr="000C6024" w:rsidTr="00C85CAE">
              <w:trPr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11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Nasiona sezamu i produkty pochodne;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sezamu oraz produktów na bazie sezamu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ziarno sezamowe, olej sezamowy, pasta sezamowa, masło sezamowe, mąka sezamowa, sól sezamowa.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sezam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Bułki do hamburgerów, chleb, wypieki, krakersy, płatki śniadaniowe, desery, zastosowania w obrębie kuchni azjatyckiej, tureckiej oraz orientalnej,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falafel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humus,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mutabal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 (syryjska pasta z bakłażana)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 </w:t>
                  </w:r>
                </w:p>
              </w:tc>
            </w:tr>
            <w:tr w:rsidR="00692AAA" w:rsidRPr="000C6024" w:rsidTr="00C85CAE">
              <w:trPr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12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Dwutlenek siarki i siarczyny w stężeniach powyżej 10 mg/kg lub 10 mg/litr w przeliczeniu na całkowitą zawartość SO</w:t>
                  </w:r>
                  <w:r w:rsidRPr="000C6024">
                    <w:rPr>
                      <w:vertAlign w:val="subscript"/>
                      <w:lang w:eastAsia="pl-PL"/>
                    </w:rPr>
                    <w:t>2</w:t>
                  </w:r>
                  <w:r w:rsidRPr="000C6024">
                    <w:rPr>
                      <w:lang w:eastAsia="pl-PL"/>
                    </w:rPr>
                    <w:t> dla produktów w postaci gotowej bezpośrednio do spożycia lub w postaci przygotowanej do spożycia zgodnie z instrukcjami wytwórców;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dwutlenku siarki oraz siarczynów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E220-228: dwutlenek siarki oraz sole kwasu siarkawego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siarczyny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wino (z zawartością siarczynów), inne napoje alkoholowe, suszone owoce (w szczególności te, które muszą zachować jasny kolor), produkty na bazie tartego chrzanu; mniejsze ilości, na przykład takie, z jakimi mamy do czynienia w przypadku błyskawicznego purée ziemniaczanego, częstokroć nie przekraczają poziomu pociągającego za sobą wymóg uwzględnienia w opisie</w:t>
                  </w:r>
                </w:p>
              </w:tc>
            </w:tr>
            <w:tr w:rsidR="00692AAA" w:rsidRPr="000C6024" w:rsidTr="00C85CAE">
              <w:trPr>
                <w:trHeight w:val="270"/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13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Łubin i produkty pochodne;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łubiny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>mąka łubinowa, białka roślinne (łubiny) w wypiekach oraz w wegetariańskich zamiennikach mięsa, kiełki łubinu.</w:t>
                  </w:r>
                </w:p>
              </w:tc>
            </w:tr>
            <w:tr w:rsidR="00692AAA" w:rsidRPr="000C6024" w:rsidTr="00C85CAE">
              <w:trPr>
                <w:tblCellSpacing w:w="0" w:type="dxa"/>
              </w:trPr>
              <w:tc>
                <w:tcPr>
                  <w:tcW w:w="5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C5000B"/>
                      <w:sz w:val="59"/>
                      <w:szCs w:val="59"/>
                      <w:lang w:eastAsia="pl-PL"/>
                    </w:rPr>
                    <w:t>14</w:t>
                  </w:r>
                </w:p>
              </w:tc>
              <w:tc>
                <w:tcPr>
                  <w:tcW w:w="442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lang w:eastAsia="pl-PL"/>
                    </w:rPr>
                    <w:t>Mięczaki i produkty pochodne; 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Oznaczenia stosowne dla mięczaków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omułki (małże, omułki jadalne, przegrzebki, ostrygi), ślimaki,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uchowce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 głowonogi (kałamarnice): kalmary, ośmiorniczki, mątwy, ośmiornic.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612E"/>
                      <w:lang w:eastAsia="pl-PL"/>
                    </w:rPr>
                    <w:t>Produkty spożywcze, które zawierają lub mogą zawierać mięczaki</w:t>
                  </w:r>
                </w:p>
                <w:p w:rsidR="00692AAA" w:rsidRPr="000C6024" w:rsidRDefault="00692AAA" w:rsidP="00C85CAE">
                  <w:pPr>
                    <w:spacing w:after="0" w:line="240" w:lineRule="auto"/>
                    <w:rPr>
                      <w:lang w:eastAsia="pl-PL"/>
                    </w:rPr>
                  </w:pPr>
                  <w:r w:rsidRPr="000C6024">
                    <w:rPr>
                      <w:color w:val="000000"/>
                      <w:lang w:eastAsia="pl-PL"/>
                    </w:rPr>
                    <w:t xml:space="preserve">sepia, czarny makaron z owocami morza,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surimi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sashimi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 xml:space="preserve">, 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bouillabaisse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, </w:t>
                  </w:r>
                  <w:proofErr w:type="spellStart"/>
                  <w:r w:rsidRPr="000C6024">
                    <w:rPr>
                      <w:color w:val="000000"/>
                      <w:lang w:eastAsia="pl-PL"/>
                    </w:rPr>
                    <w:t>paella</w:t>
                  </w:r>
                  <w:proofErr w:type="spellEnd"/>
                  <w:r w:rsidRPr="000C6024">
                    <w:rPr>
                      <w:color w:val="000000"/>
                      <w:lang w:eastAsia="pl-PL"/>
                    </w:rPr>
                    <w:t>.</w:t>
                  </w:r>
                </w:p>
              </w:tc>
            </w:tr>
          </w:tbl>
          <w:p w:rsidR="00692AAA" w:rsidRPr="000C6024" w:rsidRDefault="00692AAA" w:rsidP="006D69A4">
            <w:pPr>
              <w:rPr>
                <w:vanish/>
                <w:lang w:eastAsia="pl-PL"/>
              </w:rPr>
            </w:pPr>
          </w:p>
          <w:p w:rsidR="00692AAA" w:rsidRPr="000C6024" w:rsidRDefault="00692AAA" w:rsidP="006D69A4">
            <w:pPr>
              <w:rPr>
                <w:lang w:eastAsia="pl-PL"/>
              </w:rPr>
            </w:pPr>
          </w:p>
        </w:tc>
      </w:tr>
    </w:tbl>
    <w:p w:rsidR="00692AAA" w:rsidRPr="000C6024" w:rsidRDefault="0056666F" w:rsidP="00692AAA">
      <w:pPr>
        <w:rPr>
          <w:color w:val="FFFFFF"/>
          <w:sz w:val="18"/>
          <w:szCs w:val="18"/>
          <w:lang w:eastAsia="pl-PL"/>
        </w:rPr>
      </w:pPr>
      <w:hyperlink r:id="rId7" w:history="1">
        <w:r w:rsidR="00692AAA" w:rsidRPr="000C6024">
          <w:rPr>
            <w:color w:val="FFFFFF"/>
            <w:sz w:val="18"/>
            <w:szCs w:val="18"/>
            <w:lang w:eastAsia="pl-PL"/>
          </w:rPr>
          <w:t>o ]</w:t>
        </w:r>
      </w:hyperlink>
    </w:p>
    <w:p w:rsidR="00692AAA" w:rsidRPr="000C6024" w:rsidRDefault="00692AAA" w:rsidP="00692AAA">
      <w:pPr>
        <w:rPr>
          <w:color w:val="FFFFFF"/>
          <w:sz w:val="18"/>
          <w:szCs w:val="18"/>
          <w:lang w:eastAsia="pl-PL"/>
        </w:rPr>
      </w:pPr>
    </w:p>
    <w:p w:rsidR="00692AAA" w:rsidRPr="000C6024" w:rsidRDefault="00692AAA" w:rsidP="00692AAA">
      <w:pPr>
        <w:rPr>
          <w:color w:val="FFFFFF"/>
          <w:sz w:val="18"/>
          <w:szCs w:val="18"/>
          <w:lang w:eastAsia="pl-PL"/>
        </w:rPr>
      </w:pPr>
    </w:p>
    <w:p w:rsidR="00692AAA" w:rsidRDefault="00692AAA" w:rsidP="00692AAA">
      <w:pPr>
        <w:tabs>
          <w:tab w:val="left" w:pos="709"/>
          <w:tab w:val="center" w:pos="5385"/>
          <w:tab w:val="left" w:pos="5529"/>
          <w:tab w:val="left" w:pos="7695"/>
        </w:tabs>
        <w:jc w:val="center"/>
        <w:outlineLvl w:val="0"/>
      </w:pPr>
    </w:p>
    <w:sectPr w:rsidR="00692AAA" w:rsidSect="00692AAA">
      <w:pgSz w:w="11906" w:h="16838"/>
      <w:pgMar w:top="454" w:right="1021" w:bottom="403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1629B"/>
    <w:multiLevelType w:val="hybridMultilevel"/>
    <w:tmpl w:val="2AEADB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AA"/>
    <w:rsid w:val="00021E77"/>
    <w:rsid w:val="000F6737"/>
    <w:rsid w:val="00133949"/>
    <w:rsid w:val="003515F1"/>
    <w:rsid w:val="0056666F"/>
    <w:rsid w:val="005E6061"/>
    <w:rsid w:val="00692AAA"/>
    <w:rsid w:val="008110DC"/>
    <w:rsid w:val="00910927"/>
    <w:rsid w:val="009A3D1B"/>
    <w:rsid w:val="009E20B6"/>
    <w:rsid w:val="00B270BC"/>
    <w:rsid w:val="00B60672"/>
    <w:rsid w:val="00C85CAE"/>
    <w:rsid w:val="00DF325E"/>
    <w:rsid w:val="00E010AD"/>
    <w:rsid w:val="00FB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AA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AA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dragon.alertAT('/ajax_load.php',%7bo:'pliki_cookie'%7d,820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0FE17-D5AC-4214-8C5B-25046B882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1713</Words>
  <Characters>10283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Przedszkolenr2</dc:creator>
  <cp:lastModifiedBy>Przedszkolenr2</cp:lastModifiedBy>
  <cp:revision>19</cp:revision>
  <dcterms:created xsi:type="dcterms:W3CDTF">2017-11-20T07:53:00Z</dcterms:created>
  <dcterms:modified xsi:type="dcterms:W3CDTF">2018-03-15T07:22:00Z</dcterms:modified>
</cp:coreProperties>
</file>